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Look w:val="04A0" w:firstRow="1" w:lastRow="0" w:firstColumn="1" w:lastColumn="0" w:noHBand="0" w:noVBand="1"/>
      </w:tblPr>
      <w:tblGrid>
        <w:gridCol w:w="9778"/>
      </w:tblGrid>
      <w:tr w:rsidR="00AB2745" w:rsidRPr="004D1B7F" w14:paraId="2B74415B" w14:textId="77777777" w:rsidTr="006A1A5C">
        <w:tc>
          <w:tcPr>
            <w:tcW w:w="9778" w:type="dxa"/>
            <w:tcBorders>
              <w:top w:val="nil"/>
              <w:left w:val="nil"/>
              <w:bottom w:val="nil"/>
              <w:right w:val="nil"/>
            </w:tcBorders>
          </w:tcPr>
          <w:p w14:paraId="2FA32606" w14:textId="77777777" w:rsidR="00AB2745" w:rsidRPr="004D1B7F" w:rsidRDefault="002C18FB" w:rsidP="006A1A5C">
            <w:pPr>
              <w:rPr>
                <w:rFonts w:cs="Times New Roman"/>
                <w:b/>
                <w:sz w:val="48"/>
              </w:rPr>
            </w:pPr>
            <w:bookmarkStart w:id="0" w:name="_GoBack"/>
            <w:bookmarkEnd w:id="0"/>
            <w:r>
              <w:rPr>
                <w:rFonts w:cs="Times New Roman"/>
                <w:b/>
                <w:noProof/>
                <w:sz w:val="48"/>
                <w:lang w:eastAsia="da-DK"/>
              </w:rPr>
              <w:drawing>
                <wp:anchor distT="0" distB="0" distL="114300" distR="114300" simplePos="0" relativeHeight="251658240" behindDoc="1" locked="0" layoutInCell="1" allowOverlap="1" wp14:anchorId="5F507ED9" wp14:editId="2E1F4351">
                  <wp:simplePos x="0" y="0"/>
                  <wp:positionH relativeFrom="column">
                    <wp:posOffset>4652009</wp:posOffset>
                  </wp:positionH>
                  <wp:positionV relativeFrom="paragraph">
                    <wp:posOffset>-253365</wp:posOffset>
                  </wp:positionV>
                  <wp:extent cx="1495425" cy="589063"/>
                  <wp:effectExtent l="0" t="0" r="0" b="190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id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5425" cy="589063"/>
                          </a:xfrm>
                          <a:prstGeom prst="rect">
                            <a:avLst/>
                          </a:prstGeom>
                        </pic:spPr>
                      </pic:pic>
                    </a:graphicData>
                  </a:graphic>
                  <wp14:sizeRelH relativeFrom="page">
                    <wp14:pctWidth>0</wp14:pctWidth>
                  </wp14:sizeRelH>
                  <wp14:sizeRelV relativeFrom="page">
                    <wp14:pctHeight>0</wp14:pctHeight>
                  </wp14:sizeRelV>
                </wp:anchor>
              </w:drawing>
            </w:r>
            <w:r w:rsidR="00AB2745" w:rsidRPr="004D1B7F">
              <w:rPr>
                <w:rFonts w:cs="Times New Roman"/>
                <w:b/>
                <w:sz w:val="48"/>
              </w:rPr>
              <w:t>TR-møde – Holbæk Lærerkreds</w:t>
            </w:r>
          </w:p>
          <w:p w14:paraId="20F67F09" w14:textId="77777777" w:rsidR="00AB2745" w:rsidRPr="002C18FB" w:rsidRDefault="005D428A" w:rsidP="00782455">
            <w:pPr>
              <w:rPr>
                <w:rFonts w:cs="Times New Roman"/>
                <w:sz w:val="32"/>
              </w:rPr>
            </w:pPr>
            <w:r>
              <w:rPr>
                <w:rFonts w:cs="Times New Roman"/>
                <w:sz w:val="32"/>
              </w:rPr>
              <w:t xml:space="preserve">Tirsdag den 06-09.16 </w:t>
            </w:r>
            <w:r w:rsidR="00AB2745" w:rsidRPr="004D1B7F">
              <w:rPr>
                <w:rFonts w:cs="Times New Roman"/>
                <w:sz w:val="32"/>
              </w:rPr>
              <w:t xml:space="preserve"> kl. 1</w:t>
            </w:r>
            <w:r w:rsidR="004D1B7F">
              <w:rPr>
                <w:rFonts w:cs="Times New Roman"/>
                <w:sz w:val="32"/>
              </w:rPr>
              <w:t>4</w:t>
            </w:r>
            <w:r w:rsidR="00AB2745" w:rsidRPr="004D1B7F">
              <w:rPr>
                <w:rFonts w:cs="Times New Roman"/>
                <w:sz w:val="32"/>
              </w:rPr>
              <w:t>.</w:t>
            </w:r>
            <w:r w:rsidR="004D1B7F">
              <w:rPr>
                <w:rFonts w:cs="Times New Roman"/>
                <w:sz w:val="32"/>
              </w:rPr>
              <w:t>00</w:t>
            </w:r>
            <w:r w:rsidR="00AB2745" w:rsidRPr="004D1B7F">
              <w:rPr>
                <w:rFonts w:cs="Times New Roman"/>
                <w:sz w:val="32"/>
              </w:rPr>
              <w:t>-1</w:t>
            </w:r>
            <w:r w:rsidR="004D1B7F">
              <w:rPr>
                <w:rFonts w:cs="Times New Roman"/>
                <w:sz w:val="32"/>
              </w:rPr>
              <w:t>6</w:t>
            </w:r>
            <w:r w:rsidR="00AB2745" w:rsidRPr="004D1B7F">
              <w:rPr>
                <w:rFonts w:cs="Times New Roman"/>
                <w:sz w:val="32"/>
              </w:rPr>
              <w:t>.</w:t>
            </w:r>
            <w:r w:rsidR="004D1B7F">
              <w:rPr>
                <w:rFonts w:cs="Times New Roman"/>
                <w:sz w:val="32"/>
              </w:rPr>
              <w:t>00</w:t>
            </w:r>
          </w:p>
        </w:tc>
      </w:tr>
    </w:tbl>
    <w:p w14:paraId="25FC05AB" w14:textId="77777777" w:rsidR="00AB2745" w:rsidRPr="004D1B7F" w:rsidRDefault="00AB2745" w:rsidP="00AB2745">
      <w:pPr>
        <w:rPr>
          <w:rFonts w:cs="Times New Roman"/>
        </w:rPr>
      </w:pPr>
    </w:p>
    <w:tbl>
      <w:tblPr>
        <w:tblStyle w:val="Tabel-Gitter"/>
        <w:tblW w:w="0" w:type="auto"/>
        <w:tblLook w:val="04A0" w:firstRow="1" w:lastRow="0" w:firstColumn="1" w:lastColumn="0" w:noHBand="0" w:noVBand="1"/>
      </w:tblPr>
      <w:tblGrid>
        <w:gridCol w:w="1251"/>
        <w:gridCol w:w="8603"/>
      </w:tblGrid>
      <w:tr w:rsidR="00AB2745" w:rsidRPr="002C18FB" w14:paraId="2574FFEF" w14:textId="77777777" w:rsidTr="00782455">
        <w:tc>
          <w:tcPr>
            <w:tcW w:w="1101" w:type="dxa"/>
          </w:tcPr>
          <w:p w14:paraId="50724125" w14:textId="77777777" w:rsidR="00AB2745" w:rsidRDefault="004821CB" w:rsidP="00782455">
            <w:pPr>
              <w:rPr>
                <w:rFonts w:cs="Times New Roman"/>
                <w:sz w:val="20"/>
                <w:szCs w:val="20"/>
              </w:rPr>
            </w:pPr>
            <w:r w:rsidRPr="002C18FB">
              <w:rPr>
                <w:rFonts w:cs="Times New Roman"/>
                <w:sz w:val="20"/>
                <w:szCs w:val="20"/>
              </w:rPr>
              <w:t>Til</w:t>
            </w:r>
            <w:r w:rsidR="006909A8">
              <w:rPr>
                <w:rFonts w:cs="Times New Roman"/>
                <w:sz w:val="20"/>
                <w:szCs w:val="20"/>
              </w:rPr>
              <w:t xml:space="preserve"> </w:t>
            </w:r>
            <w:r w:rsidRPr="002C18FB">
              <w:rPr>
                <w:rFonts w:cs="Times New Roman"/>
                <w:sz w:val="20"/>
                <w:szCs w:val="20"/>
              </w:rPr>
              <w:t xml:space="preserve">stede: </w:t>
            </w:r>
          </w:p>
          <w:p w14:paraId="4A3A01FB" w14:textId="77777777" w:rsidR="006909A8" w:rsidRDefault="006909A8" w:rsidP="00782455">
            <w:pPr>
              <w:rPr>
                <w:rFonts w:cs="Times New Roman"/>
                <w:sz w:val="20"/>
                <w:szCs w:val="20"/>
              </w:rPr>
            </w:pPr>
          </w:p>
          <w:p w14:paraId="2E6AD659" w14:textId="77777777" w:rsidR="006909A8" w:rsidRDefault="006909A8" w:rsidP="00782455">
            <w:pPr>
              <w:rPr>
                <w:rFonts w:cs="Times New Roman"/>
                <w:sz w:val="20"/>
                <w:szCs w:val="20"/>
              </w:rPr>
            </w:pPr>
          </w:p>
          <w:p w14:paraId="53ADD7D7" w14:textId="77777777" w:rsidR="006909A8" w:rsidRDefault="006909A8" w:rsidP="00782455">
            <w:pPr>
              <w:rPr>
                <w:rFonts w:cs="Times New Roman"/>
                <w:sz w:val="20"/>
                <w:szCs w:val="20"/>
              </w:rPr>
            </w:pPr>
          </w:p>
          <w:p w14:paraId="4F3E4632" w14:textId="77777777" w:rsidR="006909A8" w:rsidRDefault="006909A8" w:rsidP="00782455">
            <w:pPr>
              <w:rPr>
                <w:rFonts w:cs="Times New Roman"/>
                <w:sz w:val="20"/>
                <w:szCs w:val="20"/>
              </w:rPr>
            </w:pPr>
          </w:p>
          <w:p w14:paraId="2317C601" w14:textId="77777777" w:rsidR="006909A8" w:rsidRDefault="006909A8" w:rsidP="00782455">
            <w:pPr>
              <w:rPr>
                <w:rFonts w:cs="Times New Roman"/>
                <w:sz w:val="20"/>
                <w:szCs w:val="20"/>
              </w:rPr>
            </w:pPr>
          </w:p>
          <w:p w14:paraId="6213E609" w14:textId="77777777" w:rsidR="006909A8" w:rsidRPr="002C18FB" w:rsidRDefault="006909A8" w:rsidP="00782455">
            <w:pPr>
              <w:rPr>
                <w:rFonts w:cs="Times New Roman"/>
                <w:sz w:val="20"/>
                <w:szCs w:val="20"/>
              </w:rPr>
            </w:pPr>
            <w:r>
              <w:rPr>
                <w:rFonts w:cs="Times New Roman"/>
                <w:sz w:val="20"/>
                <w:szCs w:val="20"/>
              </w:rPr>
              <w:t>Fraværende:</w:t>
            </w:r>
          </w:p>
        </w:tc>
        <w:tc>
          <w:tcPr>
            <w:tcW w:w="8677" w:type="dxa"/>
          </w:tcPr>
          <w:p w14:paraId="306CC0A9" w14:textId="77777777" w:rsidR="00AB2745" w:rsidRDefault="005D428A" w:rsidP="00A413DF">
            <w:pPr>
              <w:rPr>
                <w:rFonts w:cs="Times New Roman"/>
                <w:sz w:val="20"/>
                <w:szCs w:val="20"/>
              </w:rPr>
            </w:pPr>
            <w:r>
              <w:rPr>
                <w:rFonts w:cs="Times New Roman"/>
                <w:sz w:val="20"/>
                <w:szCs w:val="20"/>
              </w:rPr>
              <w:t>Ole Kock – BSC</w:t>
            </w:r>
            <w:proofErr w:type="gramStart"/>
            <w:r>
              <w:rPr>
                <w:rFonts w:cs="Times New Roman"/>
                <w:sz w:val="20"/>
                <w:szCs w:val="20"/>
              </w:rPr>
              <w:t>2 ,</w:t>
            </w:r>
            <w:proofErr w:type="gramEnd"/>
            <w:r>
              <w:rPr>
                <w:rFonts w:cs="Times New Roman"/>
                <w:sz w:val="20"/>
                <w:szCs w:val="20"/>
              </w:rPr>
              <w:t xml:space="preserve"> </w:t>
            </w:r>
            <w:r w:rsidR="00AB2745" w:rsidRPr="002C18FB">
              <w:rPr>
                <w:rFonts w:cs="Times New Roman"/>
                <w:sz w:val="20"/>
                <w:szCs w:val="20"/>
              </w:rPr>
              <w:t xml:space="preserve">Erling Agergaard – Stestrup, Thomas </w:t>
            </w:r>
            <w:r w:rsidR="00D63F95" w:rsidRPr="002C18FB">
              <w:rPr>
                <w:rFonts w:cs="Times New Roman"/>
                <w:sz w:val="20"/>
                <w:szCs w:val="20"/>
              </w:rPr>
              <w:t>Hornstrup – Tølløse, Hanne Kilt</w:t>
            </w:r>
            <w:r w:rsidR="00AB2745" w:rsidRPr="002C18FB">
              <w:rPr>
                <w:rFonts w:cs="Times New Roman"/>
                <w:sz w:val="20"/>
                <w:szCs w:val="20"/>
              </w:rPr>
              <w:t xml:space="preserve">– Ugerløse, </w:t>
            </w:r>
            <w:r w:rsidR="00E02A81" w:rsidRPr="002C18FB">
              <w:rPr>
                <w:rFonts w:cs="Times New Roman"/>
                <w:sz w:val="20"/>
                <w:szCs w:val="20"/>
              </w:rPr>
              <w:t>Tanja Robrahn</w:t>
            </w:r>
            <w:r w:rsidR="00D63F95" w:rsidRPr="002C18FB">
              <w:rPr>
                <w:rFonts w:cs="Times New Roman"/>
                <w:sz w:val="20"/>
                <w:szCs w:val="20"/>
              </w:rPr>
              <w:t xml:space="preserve"> </w:t>
            </w:r>
            <w:r w:rsidR="00AB2745" w:rsidRPr="002C18FB">
              <w:rPr>
                <w:rFonts w:cs="Times New Roman"/>
                <w:sz w:val="20"/>
                <w:szCs w:val="20"/>
              </w:rPr>
              <w:t>– Jernløse,</w:t>
            </w:r>
            <w:r w:rsidR="006572AF" w:rsidRPr="002C18FB">
              <w:rPr>
                <w:rFonts w:cs="Times New Roman"/>
                <w:sz w:val="20"/>
                <w:szCs w:val="20"/>
              </w:rPr>
              <w:t xml:space="preserve"> </w:t>
            </w:r>
            <w:r w:rsidR="004D1B7F" w:rsidRPr="002C18FB">
              <w:rPr>
                <w:rFonts w:cs="Times New Roman"/>
                <w:sz w:val="20"/>
                <w:szCs w:val="20"/>
              </w:rPr>
              <w:t xml:space="preserve">Troels Kristensen </w:t>
            </w:r>
            <w:r w:rsidR="00AB2745" w:rsidRPr="002C18FB">
              <w:rPr>
                <w:rFonts w:cs="Times New Roman"/>
                <w:sz w:val="20"/>
                <w:szCs w:val="20"/>
              </w:rPr>
              <w:t xml:space="preserve"> – Knabstrup, </w:t>
            </w:r>
            <w:r w:rsidR="00470DC6">
              <w:rPr>
                <w:rFonts w:cs="Times New Roman"/>
                <w:sz w:val="20"/>
                <w:szCs w:val="20"/>
              </w:rPr>
              <w:t>Sine S</w:t>
            </w:r>
            <w:r w:rsidR="004D1B7F" w:rsidRPr="002C18FB">
              <w:rPr>
                <w:rFonts w:cs="Times New Roman"/>
                <w:sz w:val="20"/>
                <w:szCs w:val="20"/>
              </w:rPr>
              <w:t xml:space="preserve"> </w:t>
            </w:r>
            <w:r w:rsidR="00AB2745" w:rsidRPr="002C18FB">
              <w:rPr>
                <w:rFonts w:cs="Times New Roman"/>
                <w:sz w:val="20"/>
                <w:szCs w:val="20"/>
              </w:rPr>
              <w:t xml:space="preserve">– Undløse, </w:t>
            </w:r>
            <w:r>
              <w:rPr>
                <w:rFonts w:cs="Times New Roman"/>
                <w:sz w:val="20"/>
                <w:szCs w:val="20"/>
              </w:rPr>
              <w:t>Lene C</w:t>
            </w:r>
            <w:r w:rsidR="00AB2745" w:rsidRPr="002C18FB">
              <w:rPr>
                <w:rFonts w:cs="Times New Roman"/>
                <w:sz w:val="20"/>
                <w:szCs w:val="20"/>
              </w:rPr>
              <w:t xml:space="preserve"> – Hjo</w:t>
            </w:r>
            <w:r w:rsidR="002E177D" w:rsidRPr="002C18FB">
              <w:rPr>
                <w:rFonts w:cs="Times New Roman"/>
                <w:sz w:val="20"/>
                <w:szCs w:val="20"/>
              </w:rPr>
              <w:t>rtholmskolen, Annette Volfing Højager</w:t>
            </w:r>
            <w:r w:rsidR="00AB2745" w:rsidRPr="002C18FB">
              <w:rPr>
                <w:rFonts w:cs="Times New Roman"/>
                <w:sz w:val="20"/>
                <w:szCs w:val="20"/>
              </w:rPr>
              <w:t xml:space="preserve"> – Isefjordskolen, Maria Sa</w:t>
            </w:r>
            <w:r w:rsidR="00CF1F9E" w:rsidRPr="002C18FB">
              <w:rPr>
                <w:rFonts w:cs="Times New Roman"/>
                <w:sz w:val="20"/>
                <w:szCs w:val="20"/>
              </w:rPr>
              <w:t xml:space="preserve">broe – Gislinge, </w:t>
            </w:r>
            <w:r w:rsidR="004D1B7F" w:rsidRPr="002C18FB">
              <w:rPr>
                <w:rFonts w:cs="Times New Roman"/>
                <w:sz w:val="20"/>
                <w:szCs w:val="20"/>
              </w:rPr>
              <w:t>Dan Eriksen</w:t>
            </w:r>
            <w:r w:rsidR="00AB2745" w:rsidRPr="002C18FB">
              <w:rPr>
                <w:rFonts w:cs="Times New Roman"/>
                <w:sz w:val="20"/>
                <w:szCs w:val="20"/>
              </w:rPr>
              <w:t xml:space="preserve"> – Vipperød, Hennin</w:t>
            </w:r>
            <w:r w:rsidR="00CF1F9E" w:rsidRPr="002C18FB">
              <w:rPr>
                <w:rFonts w:cs="Times New Roman"/>
                <w:sz w:val="20"/>
                <w:szCs w:val="20"/>
              </w:rPr>
              <w:t>g Hansen – Ågerup, Hans Junker</w:t>
            </w:r>
            <w:r>
              <w:rPr>
                <w:rFonts w:cs="Times New Roman"/>
                <w:sz w:val="20"/>
                <w:szCs w:val="20"/>
              </w:rPr>
              <w:t xml:space="preserve"> – Tuse,</w:t>
            </w:r>
            <w:r w:rsidR="007A0BF7">
              <w:rPr>
                <w:rFonts w:cs="Times New Roman"/>
                <w:sz w:val="20"/>
                <w:szCs w:val="20"/>
              </w:rPr>
              <w:t xml:space="preserve"> </w:t>
            </w:r>
            <w:r>
              <w:rPr>
                <w:rFonts w:cs="Times New Roman"/>
                <w:sz w:val="20"/>
                <w:szCs w:val="20"/>
              </w:rPr>
              <w:t>Betina F</w:t>
            </w:r>
            <w:r w:rsidR="004821CB" w:rsidRPr="002C18FB">
              <w:rPr>
                <w:rFonts w:cs="Times New Roman"/>
                <w:sz w:val="20"/>
                <w:szCs w:val="20"/>
              </w:rPr>
              <w:t xml:space="preserve"> – Udby, </w:t>
            </w:r>
            <w:r w:rsidR="004D1B7F" w:rsidRPr="002C18FB">
              <w:rPr>
                <w:rFonts w:cs="Times New Roman"/>
                <w:sz w:val="20"/>
                <w:szCs w:val="20"/>
              </w:rPr>
              <w:t>Trine Bolhorn</w:t>
            </w:r>
            <w:r w:rsidR="004821CB" w:rsidRPr="002C18FB">
              <w:rPr>
                <w:rFonts w:cs="Times New Roman"/>
                <w:sz w:val="20"/>
                <w:szCs w:val="20"/>
              </w:rPr>
              <w:t xml:space="preserve"> – </w:t>
            </w:r>
            <w:r w:rsidR="004D1B7F" w:rsidRPr="002C18FB">
              <w:rPr>
                <w:rFonts w:cs="Times New Roman"/>
                <w:sz w:val="20"/>
                <w:szCs w:val="20"/>
              </w:rPr>
              <w:t>Sofielund</w:t>
            </w:r>
            <w:r w:rsidR="004821CB" w:rsidRPr="002C18FB">
              <w:rPr>
                <w:rFonts w:cs="Times New Roman"/>
                <w:sz w:val="20"/>
                <w:szCs w:val="20"/>
              </w:rPr>
              <w:t xml:space="preserve">, </w:t>
            </w:r>
            <w:r>
              <w:rPr>
                <w:rFonts w:cs="Times New Roman"/>
                <w:sz w:val="20"/>
                <w:szCs w:val="20"/>
              </w:rPr>
              <w:t>Louise V</w:t>
            </w:r>
            <w:r w:rsidR="004821CB" w:rsidRPr="002C18FB">
              <w:rPr>
                <w:rFonts w:cs="Times New Roman"/>
                <w:sz w:val="20"/>
                <w:szCs w:val="20"/>
              </w:rPr>
              <w:t xml:space="preserve"> – Jyderup, </w:t>
            </w:r>
            <w:r>
              <w:rPr>
                <w:rFonts w:cs="Times New Roman"/>
                <w:sz w:val="20"/>
                <w:szCs w:val="20"/>
              </w:rPr>
              <w:t>Tine E</w:t>
            </w:r>
            <w:r w:rsidR="006909A8">
              <w:rPr>
                <w:rFonts w:cs="Times New Roman"/>
                <w:sz w:val="20"/>
                <w:szCs w:val="20"/>
              </w:rPr>
              <w:t xml:space="preserve"> – Kildebjerg</w:t>
            </w:r>
          </w:p>
          <w:p w14:paraId="5727E19E" w14:textId="77777777" w:rsidR="006909A8" w:rsidRDefault="006909A8" w:rsidP="00A413DF">
            <w:pPr>
              <w:rPr>
                <w:rFonts w:cs="Times New Roman"/>
                <w:sz w:val="20"/>
                <w:szCs w:val="20"/>
              </w:rPr>
            </w:pPr>
          </w:p>
          <w:p w14:paraId="30075C84" w14:textId="77777777" w:rsidR="006909A8" w:rsidRPr="002C18FB" w:rsidRDefault="006909A8" w:rsidP="00A413DF">
            <w:pPr>
              <w:rPr>
                <w:rFonts w:cs="Times New Roman"/>
                <w:sz w:val="20"/>
                <w:szCs w:val="20"/>
              </w:rPr>
            </w:pPr>
            <w:r w:rsidRPr="002C18FB">
              <w:rPr>
                <w:rFonts w:cs="Times New Roman"/>
                <w:sz w:val="20"/>
                <w:szCs w:val="20"/>
              </w:rPr>
              <w:t>Jens R</w:t>
            </w:r>
            <w:r>
              <w:rPr>
                <w:rFonts w:cs="Times New Roman"/>
                <w:sz w:val="20"/>
                <w:szCs w:val="20"/>
              </w:rPr>
              <w:t>unge – BKC</w:t>
            </w:r>
            <w:proofErr w:type="gramStart"/>
            <w:r>
              <w:rPr>
                <w:rFonts w:cs="Times New Roman"/>
                <w:sz w:val="20"/>
                <w:szCs w:val="20"/>
              </w:rPr>
              <w:t xml:space="preserve">, </w:t>
            </w:r>
            <w:r w:rsidRPr="002C18FB">
              <w:rPr>
                <w:rFonts w:cs="Times New Roman"/>
                <w:sz w:val="20"/>
                <w:szCs w:val="20"/>
              </w:rPr>
              <w:t>,</w:t>
            </w:r>
            <w:proofErr w:type="gramEnd"/>
            <w:r w:rsidRPr="002C18FB">
              <w:rPr>
                <w:rFonts w:cs="Times New Roman"/>
                <w:sz w:val="20"/>
                <w:szCs w:val="20"/>
              </w:rPr>
              <w:t xml:space="preserve"> Tina Hertz – St. Merløse,</w:t>
            </w:r>
            <w:r>
              <w:rPr>
                <w:rFonts w:cs="Times New Roman"/>
                <w:sz w:val="20"/>
                <w:szCs w:val="20"/>
              </w:rPr>
              <w:t xml:space="preserve"> </w:t>
            </w:r>
            <w:r w:rsidRPr="002C18FB">
              <w:rPr>
                <w:rFonts w:cs="Times New Roman"/>
                <w:sz w:val="20"/>
                <w:szCs w:val="20"/>
              </w:rPr>
              <w:t>Betina Elmdam– Svinninge,</w:t>
            </w:r>
            <w:r>
              <w:rPr>
                <w:rFonts w:cs="Times New Roman"/>
                <w:sz w:val="20"/>
                <w:szCs w:val="20"/>
              </w:rPr>
              <w:t xml:space="preserve"> </w:t>
            </w:r>
            <w:r w:rsidRPr="002C18FB">
              <w:rPr>
                <w:rFonts w:cs="Times New Roman"/>
                <w:sz w:val="20"/>
                <w:szCs w:val="20"/>
              </w:rPr>
              <w:t xml:space="preserve">Per Frederiksen – </w:t>
            </w:r>
            <w:proofErr w:type="spellStart"/>
            <w:r w:rsidRPr="002C18FB">
              <w:rPr>
                <w:rFonts w:cs="Times New Roman"/>
                <w:sz w:val="20"/>
                <w:szCs w:val="20"/>
              </w:rPr>
              <w:t>UngHolbæk</w:t>
            </w:r>
            <w:proofErr w:type="spellEnd"/>
            <w:r w:rsidRPr="002C18FB">
              <w:rPr>
                <w:rFonts w:cs="Times New Roman"/>
                <w:sz w:val="20"/>
                <w:szCs w:val="20"/>
              </w:rPr>
              <w:t>, Dorthe Johansen – UU</w:t>
            </w:r>
            <w:r w:rsidR="005D6938">
              <w:rPr>
                <w:rFonts w:cs="Times New Roman"/>
                <w:sz w:val="20"/>
                <w:szCs w:val="20"/>
              </w:rPr>
              <w:t>,  Kevin M</w:t>
            </w:r>
            <w:r w:rsidR="005D6938" w:rsidRPr="002C18FB">
              <w:rPr>
                <w:rFonts w:cs="Times New Roman"/>
                <w:sz w:val="20"/>
                <w:szCs w:val="20"/>
              </w:rPr>
              <w:t xml:space="preserve"> – CSU</w:t>
            </w:r>
          </w:p>
        </w:tc>
      </w:tr>
    </w:tbl>
    <w:p w14:paraId="148B2E59" w14:textId="77777777" w:rsidR="00AB2745" w:rsidRPr="004D1B7F" w:rsidRDefault="00AB2745" w:rsidP="00AB2745">
      <w:pPr>
        <w:rPr>
          <w:rFonts w:cs="Times New Roman"/>
        </w:rPr>
      </w:pPr>
    </w:p>
    <w:tbl>
      <w:tblPr>
        <w:tblStyle w:val="Tabel-Gitter"/>
        <w:tblW w:w="0" w:type="auto"/>
        <w:tblLook w:val="04A0" w:firstRow="1" w:lastRow="0" w:firstColumn="1" w:lastColumn="0" w:noHBand="0" w:noVBand="1"/>
      </w:tblPr>
      <w:tblGrid>
        <w:gridCol w:w="1101"/>
        <w:gridCol w:w="8677"/>
      </w:tblGrid>
      <w:tr w:rsidR="00AB2745" w:rsidRPr="004D1B7F" w14:paraId="2A159B2A" w14:textId="77777777" w:rsidTr="00782455">
        <w:tc>
          <w:tcPr>
            <w:tcW w:w="1101" w:type="dxa"/>
          </w:tcPr>
          <w:p w14:paraId="3A7DBA7D" w14:textId="77777777" w:rsidR="00AB2745" w:rsidRPr="004D1B7F" w:rsidRDefault="00AB2745" w:rsidP="00782455">
            <w:pPr>
              <w:rPr>
                <w:rFonts w:cs="Times New Roman"/>
                <w:b/>
              </w:rPr>
            </w:pPr>
            <w:r w:rsidRPr="004D1B7F">
              <w:rPr>
                <w:rFonts w:cs="Times New Roman"/>
                <w:b/>
              </w:rPr>
              <w:t xml:space="preserve">Pkt. </w:t>
            </w:r>
            <w:r w:rsidR="005D428A">
              <w:rPr>
                <w:rFonts w:cs="Times New Roman"/>
                <w:b/>
              </w:rPr>
              <w:t>1</w:t>
            </w:r>
          </w:p>
        </w:tc>
        <w:tc>
          <w:tcPr>
            <w:tcW w:w="8677" w:type="dxa"/>
          </w:tcPr>
          <w:p w14:paraId="0468230F" w14:textId="77777777" w:rsidR="00AB2745" w:rsidRPr="004D1B7F" w:rsidRDefault="005D428A" w:rsidP="00782455">
            <w:pPr>
              <w:rPr>
                <w:rFonts w:cs="Times New Roman"/>
                <w:b/>
              </w:rPr>
            </w:pPr>
            <w:r>
              <w:rPr>
                <w:rFonts w:cs="Times New Roman"/>
                <w:b/>
              </w:rPr>
              <w:t>Budget</w:t>
            </w:r>
          </w:p>
        </w:tc>
      </w:tr>
      <w:tr w:rsidR="00AB2745" w:rsidRPr="004D1B7F" w14:paraId="2E4D3B72" w14:textId="77777777" w:rsidTr="00782455">
        <w:tc>
          <w:tcPr>
            <w:tcW w:w="1101" w:type="dxa"/>
          </w:tcPr>
          <w:p w14:paraId="19EE7440" w14:textId="77777777" w:rsidR="00AB2745" w:rsidRPr="004D1B7F" w:rsidRDefault="00AB2745" w:rsidP="00782455">
            <w:pPr>
              <w:rPr>
                <w:rFonts w:cs="Times New Roman"/>
              </w:rPr>
            </w:pPr>
          </w:p>
        </w:tc>
        <w:tc>
          <w:tcPr>
            <w:tcW w:w="8677" w:type="dxa"/>
          </w:tcPr>
          <w:p w14:paraId="6BEE747E" w14:textId="77777777" w:rsidR="00AB2745" w:rsidRDefault="005D428A" w:rsidP="00782455">
            <w:pPr>
              <w:rPr>
                <w:rFonts w:cs="Times New Roman"/>
                <w:b/>
              </w:rPr>
            </w:pPr>
            <w:r w:rsidRPr="006909A8">
              <w:rPr>
                <w:rFonts w:cs="Times New Roman"/>
                <w:b/>
              </w:rPr>
              <w:t>Orientering om hvor det rammer</w:t>
            </w:r>
            <w:r w:rsidR="006909A8" w:rsidRPr="006909A8">
              <w:rPr>
                <w:rFonts w:cs="Times New Roman"/>
                <w:b/>
              </w:rPr>
              <w:t xml:space="preserve">. Arbejdet i TRIO og MED. </w:t>
            </w:r>
            <w:r w:rsidRPr="006909A8">
              <w:rPr>
                <w:rFonts w:cs="Times New Roman"/>
                <w:b/>
              </w:rPr>
              <w:t>Høring</w:t>
            </w:r>
            <w:r w:rsidR="006909A8" w:rsidRPr="006909A8">
              <w:rPr>
                <w:rFonts w:cs="Times New Roman"/>
                <w:b/>
              </w:rPr>
              <w:t>ssvar.</w:t>
            </w:r>
          </w:p>
          <w:p w14:paraId="35F7FD49" w14:textId="77777777" w:rsidR="006909A8" w:rsidRDefault="006909A8" w:rsidP="006909A8">
            <w:pPr>
              <w:pStyle w:val="Listeafsnit"/>
              <w:numPr>
                <w:ilvl w:val="0"/>
                <w:numId w:val="1"/>
              </w:numPr>
              <w:rPr>
                <w:rFonts w:cs="Times New Roman"/>
              </w:rPr>
            </w:pPr>
            <w:r>
              <w:rPr>
                <w:rFonts w:cs="Times New Roman"/>
              </w:rPr>
              <w:t>Jens redegjorde for forløbet op til ”hullet i den kommunale kasse” på 204 millioner kroner.</w:t>
            </w:r>
          </w:p>
          <w:p w14:paraId="05BCA893" w14:textId="77777777" w:rsidR="005D6938" w:rsidRDefault="005D6938" w:rsidP="006909A8">
            <w:pPr>
              <w:pStyle w:val="Listeafsnit"/>
              <w:numPr>
                <w:ilvl w:val="0"/>
                <w:numId w:val="1"/>
              </w:numPr>
              <w:rPr>
                <w:rFonts w:cs="Times New Roman"/>
              </w:rPr>
            </w:pPr>
            <w:r>
              <w:rPr>
                <w:rFonts w:cs="Times New Roman"/>
              </w:rPr>
              <w:t>På området ”læring og trivsel” skal der findes ca. 51,5 millioner kroner.</w:t>
            </w:r>
          </w:p>
          <w:p w14:paraId="319BB4B8" w14:textId="77777777" w:rsidR="005D6938" w:rsidRDefault="005D6938" w:rsidP="005D6938">
            <w:pPr>
              <w:pStyle w:val="Listeafsnit"/>
              <w:rPr>
                <w:rFonts w:cs="Times New Roman"/>
              </w:rPr>
            </w:pPr>
            <w:r>
              <w:rPr>
                <w:rFonts w:cs="Times New Roman"/>
              </w:rPr>
              <w:t>De store bidder er:</w:t>
            </w:r>
          </w:p>
          <w:p w14:paraId="3D70BBDA" w14:textId="77777777" w:rsidR="005D6938" w:rsidRDefault="005D6938" w:rsidP="005D6938">
            <w:pPr>
              <w:pStyle w:val="Listeafsnit"/>
              <w:rPr>
                <w:rFonts w:cs="Times New Roman"/>
              </w:rPr>
            </w:pPr>
            <w:r>
              <w:rPr>
                <w:rFonts w:cs="Times New Roman"/>
              </w:rPr>
              <w:t>Rammebesparelse i størrelsesordenen ca. 16,4 millioner</w:t>
            </w:r>
          </w:p>
          <w:p w14:paraId="28E37F33" w14:textId="77777777" w:rsidR="005D6938" w:rsidRDefault="00EB3898" w:rsidP="005D6938">
            <w:pPr>
              <w:pStyle w:val="Listeafsnit"/>
              <w:rPr>
                <w:rFonts w:cs="Times New Roman"/>
              </w:rPr>
            </w:pPr>
            <w:r>
              <w:rPr>
                <w:rFonts w:cs="Times New Roman"/>
              </w:rPr>
              <w:t xml:space="preserve">Pædagoger færre timer i undervisningen (fra 12 til 4 timer) skal indbringe ca. 22 millioner </w:t>
            </w:r>
          </w:p>
          <w:p w14:paraId="3A939BAC" w14:textId="77777777" w:rsidR="00EB3898" w:rsidRDefault="00EB3898" w:rsidP="005D6938">
            <w:pPr>
              <w:pStyle w:val="Listeafsnit"/>
              <w:rPr>
                <w:rFonts w:cs="Times New Roman"/>
              </w:rPr>
            </w:pPr>
            <w:r>
              <w:rPr>
                <w:rFonts w:cs="Times New Roman"/>
              </w:rPr>
              <w:t>Lærere der ikke bliver kompetenceudviklet skal indbringe ca. 2,7 millioner</w:t>
            </w:r>
          </w:p>
          <w:p w14:paraId="4BC7EEA6" w14:textId="77777777" w:rsidR="00EB3898" w:rsidRDefault="00EB3898" w:rsidP="005D6938">
            <w:pPr>
              <w:pStyle w:val="Listeafsnit"/>
              <w:rPr>
                <w:rFonts w:cs="Times New Roman"/>
              </w:rPr>
            </w:pPr>
            <w:r>
              <w:rPr>
                <w:rFonts w:cs="Times New Roman"/>
              </w:rPr>
              <w:t>Specialområdet skal bidrage med ca. 2,4 millioner (børn der hjemtages)</w:t>
            </w:r>
          </w:p>
          <w:p w14:paraId="501B35FD" w14:textId="77777777" w:rsidR="00EB3898" w:rsidRDefault="00EB3898" w:rsidP="005D6938">
            <w:pPr>
              <w:pStyle w:val="Listeafsnit"/>
              <w:rPr>
                <w:rFonts w:cs="Times New Roman"/>
              </w:rPr>
            </w:pPr>
            <w:r>
              <w:rPr>
                <w:rFonts w:cs="Times New Roman"/>
              </w:rPr>
              <w:t>”Huller i klasserækken” skal indbringe 0,2 millioner</w:t>
            </w:r>
          </w:p>
          <w:p w14:paraId="3EF30307" w14:textId="77777777" w:rsidR="00EB3898" w:rsidRDefault="00EB3898" w:rsidP="005D6938">
            <w:pPr>
              <w:pStyle w:val="Listeafsnit"/>
              <w:rPr>
                <w:rFonts w:cs="Times New Roman"/>
              </w:rPr>
            </w:pPr>
            <w:r>
              <w:rPr>
                <w:rFonts w:cs="Times New Roman"/>
              </w:rPr>
              <w:t>Fravalg af lejrskoler, Naturskole og fravalg af svømning skal indbringe 1,8 millioner</w:t>
            </w:r>
          </w:p>
          <w:p w14:paraId="0BC7EE66" w14:textId="77777777" w:rsidR="00EB3898" w:rsidRDefault="00EB3898" w:rsidP="005D6938">
            <w:pPr>
              <w:pStyle w:val="Listeafsnit"/>
              <w:rPr>
                <w:rFonts w:cs="Times New Roman"/>
              </w:rPr>
            </w:pPr>
            <w:r>
              <w:rPr>
                <w:rFonts w:cs="Times New Roman"/>
              </w:rPr>
              <w:t>Fagcenter – besparelser skal indbringe ca. 0,3 millioner</w:t>
            </w:r>
          </w:p>
          <w:p w14:paraId="10118424" w14:textId="77777777" w:rsidR="0081335A" w:rsidRDefault="00EB3898" w:rsidP="005D6938">
            <w:pPr>
              <w:pStyle w:val="Listeafsnit"/>
              <w:rPr>
                <w:rFonts w:cs="Times New Roman"/>
              </w:rPr>
            </w:pPr>
            <w:r>
              <w:rPr>
                <w:rFonts w:cs="Times New Roman"/>
              </w:rPr>
              <w:t>Besparelse på ledelse skal indbringe 0,9 millioner</w:t>
            </w:r>
          </w:p>
          <w:p w14:paraId="0B071EB1" w14:textId="77777777" w:rsidR="00EB3898" w:rsidRDefault="0081335A" w:rsidP="005D6938">
            <w:pPr>
              <w:pStyle w:val="Listeafsnit"/>
              <w:rPr>
                <w:rFonts w:cs="Times New Roman"/>
              </w:rPr>
            </w:pPr>
            <w:r>
              <w:rPr>
                <w:rFonts w:cs="Times New Roman"/>
              </w:rPr>
              <w:t>Kørsel er nu til ”den lave takst”, hvilket er problematisk i forhold til, at der nu er stor fysisk afstand mellem matriklerne</w:t>
            </w:r>
            <w:r w:rsidR="00EB3898">
              <w:rPr>
                <w:rFonts w:cs="Times New Roman"/>
              </w:rPr>
              <w:t xml:space="preserve"> </w:t>
            </w:r>
          </w:p>
          <w:p w14:paraId="2B3115F6" w14:textId="77777777" w:rsidR="00600DD0" w:rsidRDefault="00600DD0" w:rsidP="005D6938">
            <w:pPr>
              <w:pStyle w:val="Listeafsnit"/>
              <w:rPr>
                <w:rFonts w:cs="Times New Roman"/>
              </w:rPr>
            </w:pPr>
          </w:p>
          <w:p w14:paraId="152457E9" w14:textId="77777777" w:rsidR="00600DD0" w:rsidRPr="006909A8" w:rsidRDefault="0081335A" w:rsidP="0081335A">
            <w:pPr>
              <w:pStyle w:val="Listeafsnit"/>
              <w:numPr>
                <w:ilvl w:val="0"/>
                <w:numId w:val="1"/>
              </w:numPr>
              <w:rPr>
                <w:rFonts w:cs="Times New Roman"/>
              </w:rPr>
            </w:pPr>
            <w:r>
              <w:rPr>
                <w:rFonts w:cs="Times New Roman"/>
              </w:rPr>
              <w:t>MED-udvalgene skal komme med høringssvar senest d. 16. september</w:t>
            </w:r>
          </w:p>
        </w:tc>
      </w:tr>
      <w:tr w:rsidR="00EB3898" w:rsidRPr="004D1B7F" w14:paraId="011A477F" w14:textId="77777777" w:rsidTr="00782455">
        <w:tc>
          <w:tcPr>
            <w:tcW w:w="1101" w:type="dxa"/>
          </w:tcPr>
          <w:p w14:paraId="63EE47EC" w14:textId="77777777" w:rsidR="00EB3898" w:rsidRPr="004D1B7F" w:rsidRDefault="00EB3898" w:rsidP="00782455">
            <w:pPr>
              <w:rPr>
                <w:rFonts w:cs="Times New Roman"/>
              </w:rPr>
            </w:pPr>
          </w:p>
        </w:tc>
        <w:tc>
          <w:tcPr>
            <w:tcW w:w="8677" w:type="dxa"/>
          </w:tcPr>
          <w:p w14:paraId="474A1BD3" w14:textId="77777777" w:rsidR="00EB3898" w:rsidRPr="006909A8" w:rsidRDefault="00EB3898" w:rsidP="00782455">
            <w:pPr>
              <w:rPr>
                <w:rFonts w:cs="Times New Roman"/>
                <w:b/>
              </w:rPr>
            </w:pPr>
          </w:p>
        </w:tc>
      </w:tr>
    </w:tbl>
    <w:p w14:paraId="68357E71" w14:textId="77777777" w:rsidR="00AB2745" w:rsidRPr="004D1B7F" w:rsidRDefault="00AB2745" w:rsidP="00AB2745">
      <w:pPr>
        <w:rPr>
          <w:rFonts w:cs="Times New Roman"/>
        </w:rPr>
      </w:pPr>
    </w:p>
    <w:tbl>
      <w:tblPr>
        <w:tblStyle w:val="Tabel-Gitter"/>
        <w:tblW w:w="0" w:type="auto"/>
        <w:tblLook w:val="04A0" w:firstRow="1" w:lastRow="0" w:firstColumn="1" w:lastColumn="0" w:noHBand="0" w:noVBand="1"/>
      </w:tblPr>
      <w:tblGrid>
        <w:gridCol w:w="1101"/>
        <w:gridCol w:w="8677"/>
      </w:tblGrid>
      <w:tr w:rsidR="00AB2745" w:rsidRPr="004D1B7F" w14:paraId="1A042AC8" w14:textId="77777777" w:rsidTr="00782455">
        <w:tc>
          <w:tcPr>
            <w:tcW w:w="1101" w:type="dxa"/>
          </w:tcPr>
          <w:p w14:paraId="6740B4CD" w14:textId="77777777" w:rsidR="00AB2745" w:rsidRPr="004D1B7F" w:rsidRDefault="00AB2745" w:rsidP="00782455">
            <w:pPr>
              <w:rPr>
                <w:rFonts w:cs="Times New Roman"/>
                <w:b/>
              </w:rPr>
            </w:pPr>
            <w:r w:rsidRPr="004D1B7F">
              <w:rPr>
                <w:rFonts w:cs="Times New Roman"/>
                <w:b/>
              </w:rPr>
              <w:t xml:space="preserve">Pkt. </w:t>
            </w:r>
            <w:r w:rsidR="005D428A">
              <w:rPr>
                <w:rFonts w:cs="Times New Roman"/>
                <w:b/>
              </w:rPr>
              <w:t>2</w:t>
            </w:r>
          </w:p>
        </w:tc>
        <w:tc>
          <w:tcPr>
            <w:tcW w:w="8677" w:type="dxa"/>
          </w:tcPr>
          <w:p w14:paraId="38651C87" w14:textId="77777777" w:rsidR="00AB2745" w:rsidRPr="004D1B7F" w:rsidRDefault="005D428A" w:rsidP="00782455">
            <w:pPr>
              <w:rPr>
                <w:rFonts w:cs="Times New Roman"/>
                <w:b/>
              </w:rPr>
            </w:pPr>
            <w:r>
              <w:rPr>
                <w:rFonts w:cs="Times New Roman"/>
                <w:b/>
              </w:rPr>
              <w:t>Kongres</w:t>
            </w:r>
          </w:p>
        </w:tc>
      </w:tr>
      <w:tr w:rsidR="00AB2745" w:rsidRPr="004D1B7F" w14:paraId="237590C1" w14:textId="77777777" w:rsidTr="00782455">
        <w:tc>
          <w:tcPr>
            <w:tcW w:w="1101" w:type="dxa"/>
          </w:tcPr>
          <w:p w14:paraId="2CE9F5ED" w14:textId="77777777" w:rsidR="00AB2745" w:rsidRPr="004D1B7F" w:rsidRDefault="00AB2745" w:rsidP="00782455">
            <w:pPr>
              <w:rPr>
                <w:rFonts w:cs="Times New Roman"/>
              </w:rPr>
            </w:pPr>
          </w:p>
        </w:tc>
        <w:tc>
          <w:tcPr>
            <w:tcW w:w="8677" w:type="dxa"/>
          </w:tcPr>
          <w:p w14:paraId="268C5293" w14:textId="77777777" w:rsidR="00AB2745" w:rsidRDefault="0025592B" w:rsidP="00782455">
            <w:pPr>
              <w:rPr>
                <w:rFonts w:cs="Times New Roman"/>
                <w:b/>
              </w:rPr>
            </w:pPr>
            <w:r>
              <w:rPr>
                <w:rFonts w:cs="Times New Roman"/>
                <w:b/>
              </w:rPr>
              <w:t xml:space="preserve">Indholdet på </w:t>
            </w:r>
            <w:proofErr w:type="spellStart"/>
            <w:r>
              <w:rPr>
                <w:rFonts w:cs="Times New Roman"/>
                <w:b/>
              </w:rPr>
              <w:t>DLFs</w:t>
            </w:r>
            <w:proofErr w:type="spellEnd"/>
            <w:r>
              <w:rPr>
                <w:rFonts w:cs="Times New Roman"/>
                <w:b/>
              </w:rPr>
              <w:t xml:space="preserve"> kongres/</w:t>
            </w:r>
            <w:r w:rsidR="005D428A" w:rsidRPr="0025592B">
              <w:rPr>
                <w:rFonts w:cs="Times New Roman"/>
                <w:b/>
              </w:rPr>
              <w:t>temaerne</w:t>
            </w:r>
          </w:p>
          <w:p w14:paraId="7048A432" w14:textId="77777777" w:rsidR="0025592B" w:rsidRDefault="0025592B" w:rsidP="0025592B">
            <w:pPr>
              <w:pStyle w:val="Listeafsnit"/>
              <w:numPr>
                <w:ilvl w:val="0"/>
                <w:numId w:val="1"/>
              </w:numPr>
              <w:rPr>
                <w:rFonts w:cs="Times New Roman"/>
              </w:rPr>
            </w:pPr>
            <w:proofErr w:type="spellStart"/>
            <w:r>
              <w:rPr>
                <w:rFonts w:cs="Times New Roman"/>
              </w:rPr>
              <w:t>DLFs</w:t>
            </w:r>
            <w:proofErr w:type="spellEnd"/>
            <w:r>
              <w:rPr>
                <w:rFonts w:cs="Times New Roman"/>
              </w:rPr>
              <w:t xml:space="preserve"> kongres finder sted i København d. 13. og 14. september. Jens, Jesper og Hans er deltagere fra kreds 52.</w:t>
            </w:r>
          </w:p>
          <w:p w14:paraId="2DD0075A" w14:textId="77777777" w:rsidR="0025592B" w:rsidRDefault="0025592B" w:rsidP="0025592B">
            <w:pPr>
              <w:pStyle w:val="Listeafsnit"/>
              <w:numPr>
                <w:ilvl w:val="0"/>
                <w:numId w:val="1"/>
              </w:numPr>
              <w:rPr>
                <w:rFonts w:cs="Times New Roman"/>
              </w:rPr>
            </w:pPr>
            <w:r>
              <w:rPr>
                <w:rFonts w:cs="Times New Roman"/>
              </w:rPr>
              <w:t>Oplæggene går meget i retning af værdidebatter i form af ”hvor skal vi hen med skolen?”, ”lærernes arbejde” og lignende overskrifter.</w:t>
            </w:r>
          </w:p>
          <w:p w14:paraId="20B6E4D5" w14:textId="77777777" w:rsidR="0025592B" w:rsidRPr="0025592B" w:rsidRDefault="0025592B" w:rsidP="0025592B">
            <w:pPr>
              <w:pStyle w:val="Listeafsnit"/>
              <w:numPr>
                <w:ilvl w:val="0"/>
                <w:numId w:val="1"/>
              </w:numPr>
              <w:rPr>
                <w:rFonts w:cs="Times New Roman"/>
              </w:rPr>
            </w:pPr>
            <w:r>
              <w:rPr>
                <w:rFonts w:cs="Times New Roman"/>
              </w:rPr>
              <w:t>De ”hårde” emner om fx OK 18 vil tilsyneladende først blive debatteret for alvor på kongressen i 2017.</w:t>
            </w:r>
          </w:p>
        </w:tc>
      </w:tr>
    </w:tbl>
    <w:p w14:paraId="703EF9A0" w14:textId="77777777" w:rsidR="00AB2745" w:rsidRPr="004D1B7F" w:rsidRDefault="00AB2745" w:rsidP="00AB2745">
      <w:pPr>
        <w:rPr>
          <w:rFonts w:cs="Times New Roman"/>
        </w:rPr>
      </w:pPr>
    </w:p>
    <w:tbl>
      <w:tblPr>
        <w:tblStyle w:val="Tabel-Gitter"/>
        <w:tblW w:w="0" w:type="auto"/>
        <w:tblLook w:val="04A0" w:firstRow="1" w:lastRow="0" w:firstColumn="1" w:lastColumn="0" w:noHBand="0" w:noVBand="1"/>
      </w:tblPr>
      <w:tblGrid>
        <w:gridCol w:w="1101"/>
        <w:gridCol w:w="8677"/>
      </w:tblGrid>
      <w:tr w:rsidR="00AB2745" w:rsidRPr="004D1B7F" w14:paraId="79FCDCB8" w14:textId="77777777" w:rsidTr="00782455">
        <w:tc>
          <w:tcPr>
            <w:tcW w:w="1101" w:type="dxa"/>
          </w:tcPr>
          <w:p w14:paraId="3AFB7433" w14:textId="77777777" w:rsidR="00AB2745" w:rsidRPr="004D1B7F" w:rsidRDefault="00AB2745" w:rsidP="00782455">
            <w:pPr>
              <w:rPr>
                <w:rFonts w:cs="Times New Roman"/>
                <w:b/>
              </w:rPr>
            </w:pPr>
            <w:r w:rsidRPr="004D1B7F">
              <w:rPr>
                <w:rFonts w:cs="Times New Roman"/>
                <w:b/>
              </w:rPr>
              <w:t xml:space="preserve">Pkt. </w:t>
            </w:r>
            <w:r w:rsidR="005D428A">
              <w:rPr>
                <w:rFonts w:cs="Times New Roman"/>
                <w:b/>
              </w:rPr>
              <w:t>3</w:t>
            </w:r>
          </w:p>
        </w:tc>
        <w:tc>
          <w:tcPr>
            <w:tcW w:w="8677" w:type="dxa"/>
          </w:tcPr>
          <w:p w14:paraId="5BA592C8" w14:textId="77777777" w:rsidR="00AB2745" w:rsidRPr="004D1B7F" w:rsidRDefault="005D428A" w:rsidP="00782455">
            <w:pPr>
              <w:rPr>
                <w:rFonts w:cs="Times New Roman"/>
                <w:b/>
              </w:rPr>
            </w:pPr>
            <w:r>
              <w:rPr>
                <w:rFonts w:cs="Times New Roman"/>
                <w:b/>
              </w:rPr>
              <w:t>Sygefravær</w:t>
            </w:r>
          </w:p>
        </w:tc>
      </w:tr>
      <w:tr w:rsidR="00AB2745" w:rsidRPr="004D1B7F" w14:paraId="45D228AF" w14:textId="77777777" w:rsidTr="00782455">
        <w:tc>
          <w:tcPr>
            <w:tcW w:w="1101" w:type="dxa"/>
          </w:tcPr>
          <w:p w14:paraId="74AC656B" w14:textId="77777777" w:rsidR="00AB2745" w:rsidRPr="004D1B7F" w:rsidRDefault="00AB2745" w:rsidP="00782455">
            <w:pPr>
              <w:rPr>
                <w:rFonts w:cs="Times New Roman"/>
              </w:rPr>
            </w:pPr>
          </w:p>
        </w:tc>
        <w:tc>
          <w:tcPr>
            <w:tcW w:w="8677" w:type="dxa"/>
          </w:tcPr>
          <w:p w14:paraId="14BBAD57" w14:textId="77777777" w:rsidR="00AB2745" w:rsidRDefault="005D428A" w:rsidP="00782455">
            <w:pPr>
              <w:rPr>
                <w:rFonts w:cs="Times New Roman"/>
                <w:b/>
              </w:rPr>
            </w:pPr>
            <w:r w:rsidRPr="0025592B">
              <w:rPr>
                <w:rFonts w:cs="Times New Roman"/>
                <w:b/>
              </w:rPr>
              <w:t>Snakken bliver skolevis</w:t>
            </w:r>
          </w:p>
          <w:p w14:paraId="7EF592A2" w14:textId="77777777" w:rsidR="0025592B" w:rsidRDefault="0025592B" w:rsidP="0025592B">
            <w:pPr>
              <w:pStyle w:val="Listeafsnit"/>
              <w:numPr>
                <w:ilvl w:val="0"/>
                <w:numId w:val="1"/>
              </w:numPr>
              <w:rPr>
                <w:rFonts w:cs="Times New Roman"/>
              </w:rPr>
            </w:pPr>
            <w:r>
              <w:rPr>
                <w:rFonts w:cs="Times New Roman"/>
              </w:rPr>
              <w:t>HR/</w:t>
            </w:r>
            <w:proofErr w:type="spellStart"/>
            <w:r>
              <w:rPr>
                <w:rFonts w:cs="Times New Roman"/>
              </w:rPr>
              <w:t>personale-afdelingen</w:t>
            </w:r>
            <w:proofErr w:type="spellEnd"/>
            <w:r>
              <w:rPr>
                <w:rFonts w:cs="Times New Roman"/>
              </w:rPr>
              <w:t xml:space="preserve"> vil fremover aktivt opsøge de afdelinger, hvor der er udfordringer, så det ikke længere</w:t>
            </w:r>
            <w:r w:rsidR="00782455">
              <w:rPr>
                <w:rFonts w:cs="Times New Roman"/>
              </w:rPr>
              <w:t xml:space="preserve"> er afdelingerne, der kommer til HR og spørger om hjælp.</w:t>
            </w:r>
          </w:p>
          <w:p w14:paraId="2E073B40" w14:textId="77777777" w:rsidR="0048599D" w:rsidRDefault="0048599D" w:rsidP="0025592B">
            <w:pPr>
              <w:pStyle w:val="Listeafsnit"/>
              <w:numPr>
                <w:ilvl w:val="0"/>
                <w:numId w:val="1"/>
              </w:numPr>
              <w:rPr>
                <w:rFonts w:cs="Times New Roman"/>
              </w:rPr>
            </w:pPr>
            <w:r>
              <w:rPr>
                <w:rFonts w:cs="Times New Roman"/>
              </w:rPr>
              <w:lastRenderedPageBreak/>
              <w:t>Der er pt meget lidt ”traditionelt” sygefravær. Til gengæld er der en del delvis raskmeldte, §56-”syge” og langtidssyge, som fylder i statistikken.</w:t>
            </w:r>
          </w:p>
          <w:p w14:paraId="6678DD64" w14:textId="77777777" w:rsidR="0048599D" w:rsidRPr="0025592B" w:rsidRDefault="0048599D" w:rsidP="0025592B">
            <w:pPr>
              <w:pStyle w:val="Listeafsnit"/>
              <w:numPr>
                <w:ilvl w:val="0"/>
                <w:numId w:val="1"/>
              </w:numPr>
              <w:rPr>
                <w:rFonts w:cs="Times New Roman"/>
              </w:rPr>
            </w:pPr>
            <w:r>
              <w:rPr>
                <w:rFonts w:cs="Times New Roman"/>
              </w:rPr>
              <w:t>Det kan frygtes, at der kommer et udspil fra arbejdsgiverside om at langtidssyge vil blive afskediget med besked om, at de vil kunne vende tilbage, når de bliver raske. Dette vil medføre kraftige reaktioner fra de faglige organisationer.</w:t>
            </w:r>
          </w:p>
        </w:tc>
      </w:tr>
    </w:tbl>
    <w:p w14:paraId="2A6F95DF" w14:textId="77777777" w:rsidR="00AB2745" w:rsidRPr="004D1B7F" w:rsidRDefault="00AB2745" w:rsidP="00AB2745">
      <w:pPr>
        <w:rPr>
          <w:rFonts w:cs="Times New Roman"/>
        </w:rPr>
      </w:pPr>
    </w:p>
    <w:tbl>
      <w:tblPr>
        <w:tblStyle w:val="Tabel-Gitter"/>
        <w:tblW w:w="0" w:type="auto"/>
        <w:tblLook w:val="04A0" w:firstRow="1" w:lastRow="0" w:firstColumn="1" w:lastColumn="0" w:noHBand="0" w:noVBand="1"/>
      </w:tblPr>
      <w:tblGrid>
        <w:gridCol w:w="1101"/>
        <w:gridCol w:w="8677"/>
      </w:tblGrid>
      <w:tr w:rsidR="00AB2745" w:rsidRPr="004D1B7F" w14:paraId="7814E5AA" w14:textId="77777777" w:rsidTr="00782455">
        <w:tc>
          <w:tcPr>
            <w:tcW w:w="1101" w:type="dxa"/>
          </w:tcPr>
          <w:p w14:paraId="15D54CC1" w14:textId="77777777" w:rsidR="00AB2745" w:rsidRPr="004D1B7F" w:rsidRDefault="00AB2745" w:rsidP="00782455">
            <w:pPr>
              <w:rPr>
                <w:rFonts w:cs="Times New Roman"/>
                <w:b/>
              </w:rPr>
            </w:pPr>
            <w:r w:rsidRPr="004D1B7F">
              <w:rPr>
                <w:rFonts w:cs="Times New Roman"/>
                <w:b/>
              </w:rPr>
              <w:t xml:space="preserve">Pkt. </w:t>
            </w:r>
            <w:r w:rsidR="005D428A">
              <w:rPr>
                <w:rFonts w:cs="Times New Roman"/>
                <w:b/>
              </w:rPr>
              <w:t>4</w:t>
            </w:r>
          </w:p>
        </w:tc>
        <w:tc>
          <w:tcPr>
            <w:tcW w:w="8677" w:type="dxa"/>
          </w:tcPr>
          <w:p w14:paraId="32EE3931" w14:textId="77777777" w:rsidR="00AB2745" w:rsidRPr="004D1B7F" w:rsidRDefault="005D428A" w:rsidP="00782455">
            <w:pPr>
              <w:rPr>
                <w:rFonts w:cs="Times New Roman"/>
                <w:b/>
              </w:rPr>
            </w:pPr>
            <w:r>
              <w:rPr>
                <w:rFonts w:cs="Times New Roman"/>
                <w:b/>
              </w:rPr>
              <w:t xml:space="preserve">Benchmarking </w:t>
            </w:r>
          </w:p>
        </w:tc>
      </w:tr>
      <w:tr w:rsidR="00AB2745" w:rsidRPr="004D1B7F" w14:paraId="356E2FC4" w14:textId="77777777" w:rsidTr="00782455">
        <w:tc>
          <w:tcPr>
            <w:tcW w:w="1101" w:type="dxa"/>
          </w:tcPr>
          <w:p w14:paraId="54BB94EE" w14:textId="77777777" w:rsidR="00AB2745" w:rsidRPr="004D1B7F" w:rsidRDefault="00AB2745" w:rsidP="00782455">
            <w:pPr>
              <w:rPr>
                <w:rFonts w:cs="Times New Roman"/>
              </w:rPr>
            </w:pPr>
          </w:p>
        </w:tc>
        <w:tc>
          <w:tcPr>
            <w:tcW w:w="8677" w:type="dxa"/>
          </w:tcPr>
          <w:p w14:paraId="3B4D5723" w14:textId="77777777" w:rsidR="00AB2745" w:rsidRDefault="005D428A" w:rsidP="00782455">
            <w:pPr>
              <w:rPr>
                <w:rFonts w:cs="Times New Roman"/>
                <w:b/>
              </w:rPr>
            </w:pPr>
            <w:r w:rsidRPr="0048599D">
              <w:rPr>
                <w:rFonts w:cs="Times New Roman"/>
                <w:b/>
              </w:rPr>
              <w:t>Emnet bliver pædagoger i undervisning</w:t>
            </w:r>
            <w:r w:rsidR="0048599D">
              <w:rPr>
                <w:rFonts w:cs="Times New Roman"/>
                <w:b/>
              </w:rPr>
              <w:t>en. Hvad er det, de laver (fx faglig undervisning)?</w:t>
            </w:r>
          </w:p>
          <w:p w14:paraId="2114AA0A" w14:textId="77777777" w:rsidR="0048599D" w:rsidRDefault="0048599D" w:rsidP="0048599D">
            <w:pPr>
              <w:pStyle w:val="Listeafsnit"/>
              <w:numPr>
                <w:ilvl w:val="0"/>
                <w:numId w:val="1"/>
              </w:numPr>
              <w:rPr>
                <w:rFonts w:cs="Times New Roman"/>
              </w:rPr>
            </w:pPr>
            <w:r>
              <w:rPr>
                <w:rFonts w:cs="Times New Roman"/>
              </w:rPr>
              <w:t xml:space="preserve">Pædagogerne er </w:t>
            </w:r>
            <w:r w:rsidR="006D5805">
              <w:rPr>
                <w:rFonts w:cs="Times New Roman"/>
              </w:rPr>
              <w:t xml:space="preserve">ment som </w:t>
            </w:r>
            <w:r>
              <w:rPr>
                <w:rFonts w:cs="Times New Roman"/>
              </w:rPr>
              <w:t>primært ”voksen nummer 2” i undervisningen, men de bliver også flittigt brugt til at varetage faglig undervisning enten alene eller sammen med en lærer.</w:t>
            </w:r>
          </w:p>
          <w:p w14:paraId="30CC10AF" w14:textId="77777777" w:rsidR="0048599D" w:rsidRDefault="0048599D" w:rsidP="0048599D">
            <w:pPr>
              <w:pStyle w:val="Listeafsnit"/>
              <w:numPr>
                <w:ilvl w:val="0"/>
                <w:numId w:val="1"/>
              </w:numPr>
              <w:rPr>
                <w:rFonts w:cs="Times New Roman"/>
              </w:rPr>
            </w:pPr>
            <w:r>
              <w:rPr>
                <w:rFonts w:cs="Times New Roman"/>
              </w:rPr>
              <w:t>Omfanget er interessant bl.a. i forhold til antallet af pædagogtimer, som kan/skal skæres væk.</w:t>
            </w:r>
          </w:p>
          <w:p w14:paraId="1FA8D541" w14:textId="77777777" w:rsidR="0048599D" w:rsidRPr="0048599D" w:rsidRDefault="0048599D" w:rsidP="0048599D">
            <w:pPr>
              <w:pStyle w:val="Listeafsnit"/>
              <w:numPr>
                <w:ilvl w:val="0"/>
                <w:numId w:val="1"/>
              </w:numPr>
              <w:rPr>
                <w:rFonts w:cs="Times New Roman"/>
              </w:rPr>
            </w:pPr>
            <w:r>
              <w:rPr>
                <w:rFonts w:cs="Times New Roman"/>
              </w:rPr>
              <w:t xml:space="preserve">Så TR vender tilbage </w:t>
            </w:r>
            <w:r w:rsidR="006D5805">
              <w:rPr>
                <w:rFonts w:cs="Times New Roman"/>
              </w:rPr>
              <w:t>med omfanget af brug af pædagoger som andet end ”2. voksen” på det skema, der er lagt ud på samme adresse, som referatet er tilgængelig på.</w:t>
            </w:r>
          </w:p>
          <w:p w14:paraId="2B09E3A0" w14:textId="77777777" w:rsidR="0048599D" w:rsidRPr="0048599D" w:rsidRDefault="0048599D" w:rsidP="00782455">
            <w:pPr>
              <w:rPr>
                <w:rFonts w:cs="Times New Roman"/>
              </w:rPr>
            </w:pPr>
          </w:p>
        </w:tc>
      </w:tr>
    </w:tbl>
    <w:p w14:paraId="5F2B4659" w14:textId="77777777" w:rsidR="00AB2745" w:rsidRPr="004D1B7F" w:rsidRDefault="00AB2745" w:rsidP="00AB2745">
      <w:pPr>
        <w:rPr>
          <w:rFonts w:cs="Times New Roman"/>
        </w:rPr>
      </w:pPr>
    </w:p>
    <w:tbl>
      <w:tblPr>
        <w:tblStyle w:val="Tabel-Gitter"/>
        <w:tblW w:w="0" w:type="auto"/>
        <w:tblLook w:val="04A0" w:firstRow="1" w:lastRow="0" w:firstColumn="1" w:lastColumn="0" w:noHBand="0" w:noVBand="1"/>
      </w:tblPr>
      <w:tblGrid>
        <w:gridCol w:w="1101"/>
        <w:gridCol w:w="8677"/>
      </w:tblGrid>
      <w:tr w:rsidR="00AB2745" w:rsidRPr="004D1B7F" w14:paraId="3BD78068" w14:textId="77777777" w:rsidTr="00782455">
        <w:tc>
          <w:tcPr>
            <w:tcW w:w="1101" w:type="dxa"/>
          </w:tcPr>
          <w:p w14:paraId="1A369D80" w14:textId="77777777" w:rsidR="00AB2745" w:rsidRPr="004D1B7F" w:rsidRDefault="00AB2745" w:rsidP="00782455">
            <w:pPr>
              <w:rPr>
                <w:rFonts w:cs="Times New Roman"/>
                <w:b/>
              </w:rPr>
            </w:pPr>
            <w:r w:rsidRPr="004D1B7F">
              <w:rPr>
                <w:rFonts w:cs="Times New Roman"/>
                <w:b/>
              </w:rPr>
              <w:t xml:space="preserve">Pkt. </w:t>
            </w:r>
            <w:r w:rsidR="005D428A">
              <w:rPr>
                <w:rFonts w:cs="Times New Roman"/>
                <w:b/>
              </w:rPr>
              <w:t>6</w:t>
            </w:r>
          </w:p>
        </w:tc>
        <w:tc>
          <w:tcPr>
            <w:tcW w:w="8677" w:type="dxa"/>
          </w:tcPr>
          <w:p w14:paraId="3C44F0D2" w14:textId="77777777" w:rsidR="00AB2745" w:rsidRPr="004D1B7F" w:rsidRDefault="005D428A" w:rsidP="00782455">
            <w:pPr>
              <w:rPr>
                <w:rFonts w:cs="Times New Roman"/>
                <w:b/>
              </w:rPr>
            </w:pPr>
            <w:r>
              <w:rPr>
                <w:rFonts w:cs="Times New Roman"/>
                <w:b/>
              </w:rPr>
              <w:t>Eventuelt</w:t>
            </w:r>
          </w:p>
        </w:tc>
      </w:tr>
      <w:tr w:rsidR="00AB2745" w:rsidRPr="004D1B7F" w14:paraId="60645994" w14:textId="77777777" w:rsidTr="00782455">
        <w:tc>
          <w:tcPr>
            <w:tcW w:w="1101" w:type="dxa"/>
          </w:tcPr>
          <w:p w14:paraId="5565E0A2" w14:textId="77777777" w:rsidR="00AB2745" w:rsidRPr="004D1B7F" w:rsidRDefault="00AB2745" w:rsidP="00782455">
            <w:pPr>
              <w:rPr>
                <w:rFonts w:cs="Times New Roman"/>
              </w:rPr>
            </w:pPr>
          </w:p>
        </w:tc>
        <w:tc>
          <w:tcPr>
            <w:tcW w:w="8677" w:type="dxa"/>
          </w:tcPr>
          <w:p w14:paraId="4067924D" w14:textId="77777777" w:rsidR="00AB2745" w:rsidRPr="004D1B7F" w:rsidRDefault="00AB2745" w:rsidP="00782455">
            <w:pPr>
              <w:rPr>
                <w:rFonts w:cs="Times New Roman"/>
              </w:rPr>
            </w:pPr>
          </w:p>
        </w:tc>
      </w:tr>
    </w:tbl>
    <w:p w14:paraId="04CD7928" w14:textId="77777777" w:rsidR="00AB2745" w:rsidRPr="004D1B7F" w:rsidRDefault="00AB2745" w:rsidP="00AB2745">
      <w:pPr>
        <w:rPr>
          <w:rFonts w:cs="Times New Roman"/>
        </w:rPr>
      </w:pPr>
    </w:p>
    <w:tbl>
      <w:tblPr>
        <w:tblStyle w:val="Tabel-Gitter"/>
        <w:tblW w:w="0" w:type="auto"/>
        <w:tblLook w:val="04A0" w:firstRow="1" w:lastRow="0" w:firstColumn="1" w:lastColumn="0" w:noHBand="0" w:noVBand="1"/>
      </w:tblPr>
      <w:tblGrid>
        <w:gridCol w:w="1101"/>
        <w:gridCol w:w="8677"/>
      </w:tblGrid>
      <w:tr w:rsidR="00AB2745" w:rsidRPr="004D1B7F" w14:paraId="5EDD7FE1" w14:textId="77777777" w:rsidTr="00782455">
        <w:tc>
          <w:tcPr>
            <w:tcW w:w="1101" w:type="dxa"/>
          </w:tcPr>
          <w:p w14:paraId="59ADA6B5" w14:textId="77777777" w:rsidR="00AB2745" w:rsidRPr="004D1B7F" w:rsidRDefault="00AB2745" w:rsidP="00782455">
            <w:pPr>
              <w:rPr>
                <w:rFonts w:cs="Times New Roman"/>
                <w:b/>
              </w:rPr>
            </w:pPr>
            <w:r w:rsidRPr="004D1B7F">
              <w:rPr>
                <w:rFonts w:cs="Times New Roman"/>
                <w:b/>
              </w:rPr>
              <w:t xml:space="preserve">Pkt. </w:t>
            </w:r>
          </w:p>
        </w:tc>
        <w:tc>
          <w:tcPr>
            <w:tcW w:w="8677" w:type="dxa"/>
          </w:tcPr>
          <w:p w14:paraId="75E149EA" w14:textId="77777777" w:rsidR="00AB2745" w:rsidRPr="004D1B7F" w:rsidRDefault="00AB2745" w:rsidP="00782455">
            <w:pPr>
              <w:rPr>
                <w:rFonts w:cs="Times New Roman"/>
                <w:b/>
              </w:rPr>
            </w:pPr>
          </w:p>
        </w:tc>
      </w:tr>
      <w:tr w:rsidR="00AB2745" w:rsidRPr="004D1B7F" w14:paraId="3BCE681F" w14:textId="77777777" w:rsidTr="00782455">
        <w:tc>
          <w:tcPr>
            <w:tcW w:w="1101" w:type="dxa"/>
          </w:tcPr>
          <w:p w14:paraId="727FCDE6" w14:textId="77777777" w:rsidR="00AB2745" w:rsidRPr="004D1B7F" w:rsidRDefault="00AB2745" w:rsidP="00782455">
            <w:pPr>
              <w:rPr>
                <w:rFonts w:cs="Times New Roman"/>
              </w:rPr>
            </w:pPr>
          </w:p>
        </w:tc>
        <w:tc>
          <w:tcPr>
            <w:tcW w:w="8677" w:type="dxa"/>
          </w:tcPr>
          <w:p w14:paraId="2C0AF7BA" w14:textId="77777777" w:rsidR="00AB2745" w:rsidRPr="004D1B7F" w:rsidRDefault="00AB2745" w:rsidP="00782455">
            <w:pPr>
              <w:rPr>
                <w:rFonts w:cs="Times New Roman"/>
              </w:rPr>
            </w:pPr>
          </w:p>
        </w:tc>
      </w:tr>
    </w:tbl>
    <w:p w14:paraId="787D4706" w14:textId="77777777" w:rsidR="00AB2745" w:rsidRPr="004D1B7F" w:rsidRDefault="008A0625" w:rsidP="00AB2745">
      <w:pPr>
        <w:rPr>
          <w:rFonts w:cs="Times New Roman"/>
        </w:rPr>
      </w:pPr>
      <w:r>
        <w:rPr>
          <w:rFonts w:cs="Times New Roman"/>
        </w:rPr>
        <w:t xml:space="preserve">                                                                                                                                             Referent:</w:t>
      </w:r>
      <w:r>
        <w:rPr>
          <w:rFonts w:cs="Times New Roman"/>
        </w:rPr>
        <w:tab/>
        <w:t>Hans</w:t>
      </w:r>
    </w:p>
    <w:p w14:paraId="791AA23E" w14:textId="77777777" w:rsidR="00AB2745" w:rsidRDefault="00AB2745" w:rsidP="00AB2745">
      <w:pPr>
        <w:rPr>
          <w:rFonts w:ascii="Times New Roman" w:hAnsi="Times New Roman" w:cs="Times New Roman"/>
        </w:rPr>
      </w:pPr>
    </w:p>
    <w:p w14:paraId="0DCF287A" w14:textId="77777777" w:rsidR="002D09CD" w:rsidRDefault="002D09CD"/>
    <w:sectPr w:rsidR="002D09CD" w:rsidSect="006A1A5C">
      <w:pgSz w:w="11906" w:h="16838"/>
      <w:pgMar w:top="1134"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6DE6"/>
    <w:multiLevelType w:val="hybridMultilevel"/>
    <w:tmpl w:val="7B584ADE"/>
    <w:lvl w:ilvl="0" w:tplc="179E898E">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745"/>
    <w:rsid w:val="0025592B"/>
    <w:rsid w:val="002C168D"/>
    <w:rsid w:val="002C18FB"/>
    <w:rsid w:val="002D09CD"/>
    <w:rsid w:val="002E177D"/>
    <w:rsid w:val="00312601"/>
    <w:rsid w:val="00470DC6"/>
    <w:rsid w:val="004821CB"/>
    <w:rsid w:val="0048599D"/>
    <w:rsid w:val="004C10B5"/>
    <w:rsid w:val="004D1B7F"/>
    <w:rsid w:val="005D428A"/>
    <w:rsid w:val="005D6938"/>
    <w:rsid w:val="00600DD0"/>
    <w:rsid w:val="006572AF"/>
    <w:rsid w:val="006909A8"/>
    <w:rsid w:val="006A1A5C"/>
    <w:rsid w:val="006D5805"/>
    <w:rsid w:val="00782455"/>
    <w:rsid w:val="007A0BF7"/>
    <w:rsid w:val="0081335A"/>
    <w:rsid w:val="008A0625"/>
    <w:rsid w:val="00925F41"/>
    <w:rsid w:val="00A413DF"/>
    <w:rsid w:val="00AB2745"/>
    <w:rsid w:val="00CF1F9E"/>
    <w:rsid w:val="00D63F95"/>
    <w:rsid w:val="00E02A81"/>
    <w:rsid w:val="00EB38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E8133"/>
  <w15:docId w15:val="{88CF0589-56CE-456D-99D4-57C9DAAE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274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B2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2C18F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C18FB"/>
    <w:rPr>
      <w:rFonts w:ascii="Tahoma" w:hAnsi="Tahoma" w:cs="Tahoma"/>
      <w:sz w:val="16"/>
      <w:szCs w:val="16"/>
    </w:rPr>
  </w:style>
  <w:style w:type="paragraph" w:styleId="Listeafsnit">
    <w:name w:val="List Paragraph"/>
    <w:basedOn w:val="Normal"/>
    <w:uiPriority w:val="34"/>
    <w:qFormat/>
    <w:rsid w:val="00690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2928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Your Company Name</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Betina Elmdam</cp:lastModifiedBy>
  <cp:revision>2</cp:revision>
  <dcterms:created xsi:type="dcterms:W3CDTF">2016-09-13T05:19:00Z</dcterms:created>
  <dcterms:modified xsi:type="dcterms:W3CDTF">2016-09-13T05:19:00Z</dcterms:modified>
</cp:coreProperties>
</file>